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Georgia" w:hAnsi="Georgia" w:cs="Georgia"/>
          <w:b/>
          <w:b/>
          <w:i/>
          <w:i/>
          <w:color w:val="00B0F0"/>
          <w:sz w:val="24"/>
          <w:szCs w:val="24"/>
        </w:rPr>
      </w:pPr>
      <w:r>
        <w:rPr>
          <w:rFonts w:cs="Georgia" w:ascii="Georgia" w:hAnsi="Georgia"/>
          <w:b/>
          <w:i/>
          <w:color w:val="00B0F0"/>
          <w:sz w:val="24"/>
          <w:szCs w:val="24"/>
        </w:rPr>
        <w:drawing>
          <wp:inline distT="0" distB="0" distL="0" distR="0">
            <wp:extent cx="5761355" cy="99377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36" r="-6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rFonts w:ascii="Georgia" w:hAnsi="Georgia" w:cs="Georgi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Georgia" w:hAnsi="Georgia" w:cs="Georgi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Georgia" w:ascii="Georgia" w:hAnsi="Georgia"/>
          <w:b w:val="false"/>
          <w:bCs w:val="false"/>
          <w:i w:val="false"/>
          <w:iCs w:val="false"/>
          <w:color w:val="000000"/>
          <w:sz w:val="24"/>
          <w:szCs w:val="24"/>
        </w:rPr>
        <w:t xml:space="preserve">U Zagrebu </w:t>
      </w:r>
      <w:r>
        <w:rPr>
          <w:rFonts w:cs="Georgia" w:ascii="Georgia" w:hAnsi="Georgia"/>
          <w:b w:val="false"/>
          <w:bCs w:val="false"/>
          <w:i w:val="false"/>
          <w:iCs w:val="false"/>
          <w:color w:val="000000"/>
          <w:sz w:val="24"/>
          <w:szCs w:val="24"/>
        </w:rPr>
        <w:t>1. srpnja</w:t>
      </w:r>
      <w:r>
        <w:rPr>
          <w:rFonts w:cs="Georgia" w:ascii="Georgia" w:hAnsi="Georgia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2021.  </w:t>
      </w:r>
    </w:p>
    <w:p>
      <w:pPr>
        <w:pStyle w:val="Normal"/>
        <w:bidi w:val="0"/>
        <w:jc w:val="left"/>
        <w:rPr>
          <w:rFonts w:ascii="Georgia" w:hAnsi="Georgia" w:cs="Georgi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Georgia" w:hAnsi="Georgia" w:cs="Georgi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left"/>
        <w:rPr>
          <w:rFonts w:ascii="Georgia" w:hAnsi="Georgia" w:cs="Georgia"/>
          <w:sz w:val="24"/>
          <w:szCs w:val="24"/>
        </w:rPr>
      </w:pPr>
      <w:r>
        <w:rPr>
          <w:rFonts w:cs="Georgia" w:ascii="Georgia" w:hAnsi="Georgia"/>
          <w:sz w:val="24"/>
          <w:szCs w:val="24"/>
        </w:rPr>
        <w:t xml:space="preserve">KLASA: </w:t>
      </w:r>
      <w:r>
        <w:rPr>
          <w:rFonts w:cs="Georgia" w:ascii="Georgia" w:hAnsi="Georgia"/>
          <w:sz w:val="24"/>
          <w:szCs w:val="24"/>
        </w:rPr>
        <w:t>602-02/21-01/</w:t>
      </w:r>
      <w:r>
        <w:rPr>
          <w:rFonts w:cs="Georgia" w:ascii="Georgia" w:hAnsi="Georgia"/>
          <w:sz w:val="24"/>
          <w:szCs w:val="24"/>
        </w:rPr>
        <w:t>144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Georgia" w:ascii="Georgia" w:hAnsi="Georgia"/>
          <w:sz w:val="24"/>
          <w:szCs w:val="24"/>
        </w:rPr>
        <w:t xml:space="preserve">URBROJ: </w:t>
      </w:r>
      <w:r>
        <w:rPr>
          <w:rFonts w:cs="Georgia" w:ascii="Georgia" w:hAnsi="Georgia"/>
          <w:sz w:val="24"/>
          <w:szCs w:val="24"/>
        </w:rPr>
        <w:t>241-155-21-01-1</w:t>
      </w:r>
    </w:p>
    <w:p>
      <w:pPr>
        <w:pStyle w:val="Normal"/>
        <w:bidi w:val="0"/>
        <w:spacing w:lineRule="auto" w:line="240"/>
        <w:jc w:val="left"/>
        <w:rPr>
          <w:rFonts w:ascii="Georgia" w:hAnsi="Georgia" w:cs="Georgia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left"/>
        <w:rPr>
          <w:rFonts w:ascii="Georgia" w:hAnsi="Georgia" w:cs="Georgia"/>
          <w:sz w:val="24"/>
          <w:szCs w:val="24"/>
        </w:rPr>
      </w:pPr>
      <w:r>
        <w:rPr/>
      </w:r>
    </w:p>
    <w:p>
      <w:pPr>
        <w:pStyle w:val="Stilnaslova2"/>
        <w:bidi w:val="0"/>
        <w:spacing w:lineRule="auto" w:line="240"/>
        <w:jc w:val="both"/>
        <w:rPr/>
      </w:pPr>
      <w:r>
        <w:rPr>
          <w:rFonts w:cs="Georgia"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 temelju članka 10. </w:t>
      </w:r>
      <w:r>
        <w:rPr>
          <w:rFonts w:cs="Georgia"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Zakon</w:t>
      </w:r>
      <w:r>
        <w:rPr>
          <w:rFonts w:cs="Georgia"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 </w:t>
      </w:r>
      <w:r>
        <w:rPr>
          <w:rFonts w:cs="Georgia"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udžbenicima i drugim obrazovnim materijalima za osnovnu i srednju školu (</w:t>
      </w:r>
      <w:r>
        <w:rPr>
          <w:rFonts w:cs="Georgia" w:ascii="Georgia" w:hAnsi="Georgia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Narodne novine</w:t>
      </w:r>
      <w:r>
        <w:rPr>
          <w:rFonts w:cs="Georgia"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116/2018.) </w:t>
      </w:r>
      <w:r>
        <w:rPr>
          <w:rFonts w:cs="Georgia"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</w:t>
      </w:r>
      <w:r>
        <w:rPr>
          <w:rFonts w:cs="Georgia" w:ascii="Georgia" w:hAnsi="Georgia"/>
          <w:b w:val="false"/>
          <w:bCs w:val="false"/>
          <w:sz w:val="24"/>
          <w:szCs w:val="24"/>
        </w:rPr>
        <w:t>avnateljica Osnovne škole Augusta Cesarca, Zagreb donosi</w:t>
      </w:r>
    </w:p>
    <w:p>
      <w:pPr>
        <w:pStyle w:val="Normal"/>
        <w:bidi w:val="0"/>
        <w:spacing w:lineRule="atLeast" w:line="360" w:before="0" w:after="0"/>
        <w:jc w:val="both"/>
        <w:textAlignment w:val="baseline"/>
        <w:rPr/>
      </w:pPr>
      <w:r>
        <w:rPr/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Georgia" w:cs="Georgia" w:ascii="Georgia" w:hAnsi="Georgia"/>
          <w:sz w:val="24"/>
          <w:szCs w:val="24"/>
        </w:rPr>
        <w:t xml:space="preserve">  </w:t>
      </w:r>
      <w:r>
        <w:rPr>
          <w:rFonts w:cs="Georgia" w:ascii="Georgia" w:hAnsi="Georgia"/>
          <w:b/>
          <w:sz w:val="24"/>
          <w:szCs w:val="24"/>
        </w:rPr>
        <w:t xml:space="preserve">O D L U K U 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Georgia" w:ascii="Georgia" w:hAnsi="Georgia"/>
          <w:b/>
          <w:sz w:val="24"/>
          <w:szCs w:val="24"/>
        </w:rPr>
        <w:t xml:space="preserve">o odabiru udžbenika za školsku godinu 2021./2022. </w:t>
      </w:r>
    </w:p>
    <w:p>
      <w:pPr>
        <w:pStyle w:val="Normal"/>
        <w:bidi w:val="0"/>
        <w:spacing w:lineRule="auto" w:line="240"/>
        <w:jc w:val="center"/>
        <w:rPr>
          <w:rFonts w:ascii="Georgia" w:hAnsi="Georgia" w:cs="Georgia"/>
          <w:b/>
          <w:b/>
          <w:sz w:val="24"/>
          <w:szCs w:val="24"/>
        </w:rPr>
      </w:pPr>
      <w:r>
        <w:rPr/>
      </w:r>
    </w:p>
    <w:p>
      <w:pPr>
        <w:pStyle w:val="Tijeloteksta"/>
        <w:widowControl/>
        <w:pBdr/>
        <w:bidi w:val="0"/>
        <w:spacing w:lineRule="auto" w:line="252"/>
        <w:ind w:left="0" w:right="0" w:hanging="0"/>
        <w:jc w:val="center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I.</w:t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both"/>
        <w:rPr>
          <w:rFonts w:ascii="Georgia" w:hAnsi="Georgia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 xml:space="preserve">U školi mogu biti u uporabi samo udžbenici koji se nalaze u Katalogu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 xml:space="preserve">(Katalog odobrenih udžbenika za osnovnu školu za školsku godinu 2021./2022. za razrede koje ulaze u frontalnu provedbu kurikularne reforme, Katalog odobrenih udžbenika za osnovnu školu za školsku godinu 2019./2020. prema odabiru iz 2019. te Katalog odobrenih udžbenika za osnovnu školu za školsku godinu 2020./2021. prema odabiru iz 2020.).  </w:t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both"/>
        <w:rPr>
          <w:rFonts w:ascii="Georgia" w:hAnsi="Georgia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center"/>
        <w:rPr>
          <w:rFonts w:ascii="Georgia" w:hAnsi="Georgia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II.</w:t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both"/>
        <w:rPr>
          <w:rFonts w:ascii="Georgia" w:hAnsi="Georgia"/>
          <w:b/>
          <w:b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Odabir udžbenika za uporabu u školi provodi se u godini u kojoj se mijenja Katalog, i to samo za one predmete i razrede za koje je odobren novi udžbenik i uvršten u Katalog.</w:t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center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III.</w:t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Odluku o odabiru udžbenika u višim razredima osnovnih i svim razredima srednjih škola donose stručni aktivi predmeta na razini škole. U svim paralelnim razrednim odjelima viših razreda osnovne i srednje škole za jedan nastavni predmet u uporabi može biti samo jedan udžbenik.</w:t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center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IV.</w:t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Odluku o odabiru udžbenika u razrednoj nastavi donose učitelji razredne nastave na način koji osigurava višegodišnje korištenje udžbenika unutar škole, osim u slučaju udžbenika radnog karaktera utvrđenog člankom 3. stavkom 5. Zakona.</w:t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center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center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center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center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V.</w:t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Odluke škola dostavlja Ministarstvu i objavljuje na svojim mrežnim stranicama najkasnije do 1. srpnja. Objedinjene liste odabranih udžbenika Ministarstvo objavljuje na svojim mrežnim stranicama.</w:t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</w:r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left"/>
        <w:rPr/>
      </w:pPr>
      <w:hyperlink r:id="rId4">
        <w:r>
          <w:rPr>
            <w:rStyle w:val="Internetskapoveznica"/>
            <w:rFonts w:cs="Georgia" w:ascii="Georgia" w:hAnsi="Georgia"/>
            <w:sz w:val="24"/>
            <w:szCs w:val="24"/>
          </w:rPr>
          <w:t>https://mzo.gov.hr/UserDocsImages//dokumenti/Obrazovanje/Udzbenici/NabavaUdzbenika2021-2022//Naputak%20o%20nacinu%20uporabe%20vracanja%20i%20obnavljanja%20udzbenika%20-%20financiranih%20sredstvima%20iz%20drzavnoga%20proracuna.pdf</w:t>
        </w:r>
      </w:hyperlink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left"/>
        <w:rPr/>
      </w:pPr>
      <w:hyperlink r:id="rId5">
        <w:r>
          <w:rPr/>
        </w:r>
      </w:hyperlink>
    </w:p>
    <w:p>
      <w:pPr>
        <w:pStyle w:val="Tijeloteksta"/>
        <w:widowControl/>
        <w:pBdr/>
        <w:bidi w:val="0"/>
        <w:spacing w:lineRule="auto" w:line="252" w:before="0" w:after="0"/>
        <w:ind w:left="0" w:right="0" w:hanging="0"/>
        <w:jc w:val="left"/>
        <w:rPr/>
      </w:pPr>
      <w:hyperlink r:id="rId6">
        <w:r>
          <w:rPr>
            <w:rStyle w:val="Internetskapoveznica"/>
            <w:rFonts w:eastAsia="Georgia" w:cs="Georgia" w:ascii="Georgia" w:hAnsi="Georgia"/>
            <w:b w:val="false"/>
            <w:bCs w:val="false"/>
            <w:sz w:val="24"/>
            <w:szCs w:val="24"/>
          </w:rPr>
          <w:t>https://mzo.gov.hr/vijesti/nabava-udzbenika-za-ucenike-osnovnih-skola-za-skolsku-godinu-2021-2022/4408</w:t>
        </w:r>
      </w:hyperlink>
    </w:p>
    <w:p>
      <w:pPr>
        <w:pStyle w:val="Normal"/>
        <w:bidi w:val="0"/>
        <w:ind w:left="0" w:right="0" w:hanging="0"/>
        <w:jc w:val="right"/>
        <w:rPr>
          <w:rFonts w:ascii="Georgia" w:hAnsi="Georgia" w:eastAsia="Georgia" w:cs="Georgia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ind w:left="0" w:right="0" w:hanging="0"/>
        <w:jc w:val="right"/>
        <w:rPr/>
      </w:pPr>
      <w:r>
        <w:rPr>
          <w:rFonts w:eastAsia="Georgia" w:cs="Georgia" w:ascii="Georgia" w:hAnsi="Georgia"/>
          <w:b/>
          <w:sz w:val="24"/>
          <w:szCs w:val="24"/>
        </w:rPr>
        <w:t xml:space="preserve">                                                               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 w:val="false"/>
          <w:bCs w:val="false"/>
          <w:sz w:val="24"/>
          <w:szCs w:val="24"/>
        </w:rPr>
        <w:t>VI.</w:t>
      </w:r>
    </w:p>
    <w:p>
      <w:pPr>
        <w:pStyle w:val="Normal"/>
        <w:bidi w:val="0"/>
        <w:ind w:left="0" w:right="0" w:hanging="0"/>
        <w:jc w:val="center"/>
        <w:rPr>
          <w:rFonts w:ascii="Georgia" w:hAnsi="Georgia" w:eastAsia="Georgia" w:cs="Georgia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 w:val="false"/>
          <w:bCs w:val="false"/>
          <w:sz w:val="24"/>
          <w:szCs w:val="24"/>
        </w:rPr>
        <w:t>Popis odabranih udžbenika prilog je Odluci i objavljen na mrežnoj stranici Škole.</w:t>
      </w:r>
    </w:p>
    <w:p>
      <w:pPr>
        <w:pStyle w:val="Normal"/>
        <w:bidi w:val="0"/>
        <w:ind w:left="0" w:right="0" w:hanging="0"/>
        <w:jc w:val="both"/>
        <w:rPr>
          <w:rFonts w:ascii="Georgia" w:hAnsi="Georgia" w:eastAsia="Georgia" w:cs="Georgia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 w:val="false"/>
          <w:bCs w:val="false"/>
          <w:sz w:val="24"/>
          <w:szCs w:val="24"/>
        </w:rPr>
        <w:t>VII.</w:t>
      </w:r>
    </w:p>
    <w:p>
      <w:pPr>
        <w:pStyle w:val="Normal"/>
        <w:bidi w:val="0"/>
        <w:ind w:left="0" w:right="0" w:hanging="0"/>
        <w:jc w:val="both"/>
        <w:rPr>
          <w:rFonts w:ascii="Georgia" w:hAnsi="Georgia" w:eastAsia="Georgia" w:cs="Georgia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 w:val="false"/>
          <w:bCs w:val="false"/>
          <w:sz w:val="24"/>
          <w:szCs w:val="24"/>
        </w:rPr>
        <w:t>Ova Odluka stupa na snagu danom donošenja.</w:t>
      </w:r>
    </w:p>
    <w:p>
      <w:pPr>
        <w:pStyle w:val="Normal"/>
        <w:bidi w:val="0"/>
        <w:ind w:left="0" w:right="0" w:hanging="0"/>
        <w:jc w:val="both"/>
        <w:rPr>
          <w:rFonts w:ascii="Georgia" w:hAnsi="Georgia" w:eastAsia="Georgia" w:cs="Georgia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right"/>
        <w:rPr>
          <w:rFonts w:ascii="Georgia" w:hAnsi="Georgia" w:eastAsia="Georgia" w:cs="Georgia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ind w:left="0" w:right="0" w:hanging="0"/>
        <w:jc w:val="right"/>
        <w:rPr/>
      </w:pPr>
      <w:r>
        <w:rPr>
          <w:rFonts w:eastAsia="Georgia" w:cs="Georgia" w:ascii="Georgia" w:hAnsi="Georgia"/>
          <w:b/>
          <w:sz w:val="24"/>
          <w:szCs w:val="24"/>
        </w:rPr>
        <w:t xml:space="preserve"> </w:t>
      </w:r>
      <w:r>
        <w:rPr>
          <w:rFonts w:cs="Georgia" w:ascii="Georgia" w:hAnsi="Georgia"/>
          <w:sz w:val="24"/>
          <w:szCs w:val="24"/>
        </w:rPr>
        <w:t xml:space="preserve">Ravnateljica: </w:t>
      </w:r>
    </w:p>
    <w:p>
      <w:pPr>
        <w:pStyle w:val="Normal"/>
        <w:bidi w:val="0"/>
        <w:ind w:left="0" w:right="0" w:hanging="0"/>
        <w:jc w:val="right"/>
        <w:rPr>
          <w:rFonts w:ascii="Georgia" w:hAnsi="Georgia" w:cs="Georgia"/>
          <w:sz w:val="24"/>
          <w:szCs w:val="24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Georgia" w:hAnsi="Georgia" w:cs="Georgia"/>
          <w:sz w:val="24"/>
          <w:szCs w:val="24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Georgia" w:hAnsi="Georgia" w:cs="Georgia"/>
          <w:sz w:val="24"/>
          <w:szCs w:val="24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Georgia" w:hAnsi="Georgia" w:cs="Georgia"/>
          <w:sz w:val="24"/>
          <w:szCs w:val="24"/>
        </w:rPr>
      </w:pPr>
      <w:r>
        <w:rPr/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Georgia" w:ascii="Georgia" w:hAnsi="Georgia"/>
          <w:sz w:val="24"/>
          <w:szCs w:val="24"/>
        </w:rPr>
        <w:t>Tina Kirin,prof.</w:t>
      </w:r>
    </w:p>
    <w:p>
      <w:pPr>
        <w:pStyle w:val="Normal"/>
        <w:bidi w:val="0"/>
        <w:jc w:val="left"/>
        <w:rPr>
          <w:rFonts w:ascii="Georgia" w:hAnsi="Georgia" w:cs="Georgia"/>
          <w:sz w:val="24"/>
          <w:szCs w:val="24"/>
        </w:rPr>
      </w:pPr>
      <w:r>
        <w:rPr>
          <w:rFonts w:cs="Georgia" w:ascii="Georgia" w:hAnsi="Georgia"/>
          <w:sz w:val="24"/>
          <w:szCs w:val="24"/>
        </w:rPr>
        <w:t xml:space="preserve"> </w:t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  <w:t>Dostaviti:</w:t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  <w:t>1. Ministarstvo znanosti i obrazovanja</w:t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  <w:t>2. mrežna stranica Škole</w:t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  <w:t>3. Pismohrana, ovdje</w:t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  <w:t>Prilog Odluci:</w:t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</w:r>
    </w:p>
    <w:p>
      <w:pPr>
        <w:pStyle w:val="ListParagraph"/>
        <w:bidi w:val="0"/>
        <w:ind w:right="0" w:hanging="0"/>
        <w:jc w:val="left"/>
        <w:rPr>
          <w:rFonts w:ascii="Georgia" w:hAnsi="Georgia" w:cs="Georgia"/>
          <w:color w:val="000000"/>
          <w:sz w:val="24"/>
          <w:szCs w:val="24"/>
        </w:rPr>
      </w:pPr>
      <w:r>
        <w:rPr>
          <w:rFonts w:cs="Georgia" w:ascii="Georgia" w:hAnsi="Georgia"/>
          <w:color w:val="000000"/>
          <w:sz w:val="24"/>
          <w:szCs w:val="24"/>
        </w:rPr>
        <w:t>1. Popis odabranih udžbenika za školsku godinu 2021./2022.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01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Stilnaslova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Stilnaslova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2">
    <w:name w:val="Heading 2"/>
    <w:basedOn w:val="Stilnaslova"/>
    <w:next w:val="Tijeloteksta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ilnaslova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" w:cs=""/>
      <w:color w:val="243F60"/>
      <w:sz w:val="24"/>
      <w:szCs w:val="24"/>
    </w:rPr>
  </w:style>
  <w:style w:type="character" w:styleId="WW8Num1z0">
    <w:name w:val="WW8Num1z0"/>
    <w:qFormat/>
    <w:rPr>
      <w:color w:val="auto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zo.gov.hr/UserDocsImages//dokumenti/Obrazovanje/Udzbenici/NabavaUdzbenika2021-2022//Naputak o nacinu uporabe vracanja i obnavljanja udzbenika - financiranih sredstvima iz drzavnoga proracuna.pdf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mzo.gov.hr/vijesti/nabava-udzbenika-za-ucenike-osnovnih-skola-za-skolsku-godinu-2021-2022/4408" TargetMode="External"/><Relationship Id="rId6" Type="http://schemas.openxmlformats.org/officeDocument/2006/relationships/hyperlink" Target="https://mzo.gov.hr/vijesti/nabava-udzbenika-za-ucenike-osnovnih-skola-za-skolsku-godinu-2021-2022/4408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LibreOffice/7.0.1.2$Windows_X86_64 LibreOffice_project/7cbcfc562f6eb6708b5ff7d7397325de9e764452</Application>
  <Pages>2</Pages>
  <Words>294</Words>
  <Characters>2006</Characters>
  <CharactersWithSpaces>2344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2022-01-19T21:50:58Z</dcterms:created>
  <dc:creator/>
  <dc:description/>
  <dc:language>hr-HR</dc:language>
  <cp:lastModifiedBy/>
  <dcterms:modified xsi:type="dcterms:W3CDTF">2022-01-19T22:30:57Z</dcterms:modified>
  <cp:revision>4</cp:revision>
  <dc:subject/>
  <dc:title/>
</cp:coreProperties>
</file>